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A3371" w14:textId="77777777" w:rsidR="0099209D" w:rsidRDefault="0099209D" w:rsidP="00801959">
      <w:pPr>
        <w:pBdr>
          <w:top w:val="nil"/>
          <w:left w:val="nil"/>
          <w:bottom w:val="nil"/>
          <w:right w:val="nil"/>
          <w:between w:val="nil"/>
        </w:pBdr>
        <w:spacing w:after="0"/>
        <w:jc w:val="center"/>
        <w:rPr>
          <w:rFonts w:ascii="Century Gothic" w:eastAsia="Century Gothic" w:hAnsi="Century Gothic" w:cs="Century Gothic"/>
          <w:b/>
          <w:color w:val="C55911"/>
          <w:sz w:val="22"/>
          <w:szCs w:val="22"/>
          <w:u w:val="single"/>
        </w:rPr>
      </w:pPr>
    </w:p>
    <w:p w14:paraId="4EFB6B1E" w14:textId="2382CEF4" w:rsidR="00425267" w:rsidRPr="00425267" w:rsidRDefault="004C7C48" w:rsidP="00801959">
      <w:pPr>
        <w:pBdr>
          <w:top w:val="nil"/>
          <w:left w:val="nil"/>
          <w:bottom w:val="nil"/>
          <w:right w:val="nil"/>
          <w:between w:val="nil"/>
        </w:pBdr>
        <w:spacing w:after="0"/>
        <w:jc w:val="center"/>
        <w:rPr>
          <w:rFonts w:ascii="Century Gothic" w:eastAsia="Century Gothic" w:hAnsi="Century Gothic" w:cs="Century Gothic"/>
          <w:b/>
          <w:color w:val="C55911"/>
          <w:sz w:val="34"/>
          <w:szCs w:val="34"/>
        </w:rPr>
      </w:pPr>
      <w:r>
        <w:rPr>
          <w:rFonts w:ascii="Century Gothic" w:eastAsia="Century Gothic" w:hAnsi="Century Gothic" w:cs="Century Gothic"/>
          <w:b/>
          <w:color w:val="C55911"/>
          <w:sz w:val="34"/>
          <w:szCs w:val="34"/>
        </w:rPr>
        <w:t>El 50% de la población admite haber consumido productos caducados para evitar tirarlos</w:t>
      </w:r>
      <w:r w:rsidR="00425267" w:rsidRPr="00425267">
        <w:br/>
      </w:r>
    </w:p>
    <w:p w14:paraId="7C842174" w14:textId="560F388E" w:rsidR="00425267" w:rsidRDefault="00425267" w:rsidP="00801959">
      <w:pPr>
        <w:numPr>
          <w:ilvl w:val="0"/>
          <w:numId w:val="1"/>
        </w:numPr>
        <w:tabs>
          <w:tab w:val="clear" w:pos="720"/>
        </w:tabs>
        <w:spacing w:after="0"/>
        <w:jc w:val="both"/>
        <w:rPr>
          <w:rFonts w:ascii="Century Gothic" w:eastAsia="Century Gothic" w:hAnsi="Century Gothic" w:cs="Century Gothic"/>
          <w:i/>
          <w:color w:val="000000"/>
          <w:kern w:val="0"/>
          <w:sz w:val="22"/>
          <w:szCs w:val="22"/>
          <w:lang w:eastAsia="es-ES"/>
          <w14:ligatures w14:val="none"/>
        </w:rPr>
      </w:pPr>
      <w:r w:rsidRPr="00425267">
        <w:rPr>
          <w:rFonts w:ascii="Century Gothic" w:eastAsia="Century Gothic" w:hAnsi="Century Gothic" w:cs="Century Gothic"/>
          <w:i/>
          <w:color w:val="000000"/>
          <w:kern w:val="0"/>
          <w:sz w:val="22"/>
          <w:szCs w:val="22"/>
          <w:lang w:eastAsia="es-ES"/>
          <w14:ligatures w14:val="none"/>
        </w:rPr>
        <w:t xml:space="preserve">Phenix subraya </w:t>
      </w:r>
      <w:r w:rsidR="00F67872">
        <w:rPr>
          <w:rFonts w:ascii="Century Gothic" w:eastAsia="Century Gothic" w:hAnsi="Century Gothic" w:cs="Century Gothic"/>
          <w:i/>
          <w:color w:val="000000"/>
          <w:kern w:val="0"/>
          <w:sz w:val="22"/>
          <w:szCs w:val="22"/>
          <w:lang w:eastAsia="es-ES"/>
          <w14:ligatures w14:val="none"/>
        </w:rPr>
        <w:t>que</w:t>
      </w:r>
      <w:r w:rsidRPr="00425267">
        <w:rPr>
          <w:rFonts w:ascii="Century Gothic" w:eastAsia="Century Gothic" w:hAnsi="Century Gothic" w:cs="Century Gothic"/>
          <w:i/>
          <w:color w:val="000000"/>
          <w:kern w:val="0"/>
          <w:sz w:val="22"/>
          <w:szCs w:val="22"/>
          <w:lang w:eastAsia="es-ES"/>
          <w14:ligatures w14:val="none"/>
        </w:rPr>
        <w:t xml:space="preserve"> una correcta gestión del excedente es clave para proteger la salud pública, combatir el desperdicio y reforzar la resiliencia del sistema alimentario.</w:t>
      </w:r>
    </w:p>
    <w:p w14:paraId="63DF2EB9" w14:textId="77777777" w:rsidR="00720551" w:rsidRPr="00425267" w:rsidRDefault="00720551" w:rsidP="00801959">
      <w:pPr>
        <w:spacing w:after="0"/>
        <w:ind w:left="720"/>
        <w:jc w:val="both"/>
        <w:rPr>
          <w:rFonts w:ascii="Century Gothic" w:eastAsia="Century Gothic" w:hAnsi="Century Gothic" w:cs="Century Gothic"/>
          <w:i/>
          <w:color w:val="000000"/>
          <w:kern w:val="0"/>
          <w:sz w:val="22"/>
          <w:szCs w:val="22"/>
          <w:lang w:eastAsia="es-ES"/>
          <w14:ligatures w14:val="none"/>
        </w:rPr>
      </w:pPr>
    </w:p>
    <w:p w14:paraId="67CA5921" w14:textId="657457A2" w:rsidR="00425267" w:rsidRPr="00425267" w:rsidRDefault="00425267" w:rsidP="00801959">
      <w:pPr>
        <w:spacing w:after="0"/>
        <w:jc w:val="both"/>
        <w:rPr>
          <w:rFonts w:ascii="Century Gothic" w:hAnsi="Century Gothic"/>
          <w:sz w:val="22"/>
          <w:szCs w:val="22"/>
        </w:rPr>
      </w:pPr>
      <w:r w:rsidRPr="00425267">
        <w:rPr>
          <w:rFonts w:ascii="Century Gothic" w:hAnsi="Century Gothic"/>
          <w:b/>
          <w:bCs/>
          <w:sz w:val="22"/>
          <w:szCs w:val="22"/>
        </w:rPr>
        <w:t>Madrid, 9 de junio de 2025.</w:t>
      </w:r>
      <w:r w:rsidRPr="00425267">
        <w:rPr>
          <w:rFonts w:ascii="Century Gothic" w:hAnsi="Century Gothic"/>
          <w:sz w:val="22"/>
          <w:szCs w:val="22"/>
        </w:rPr>
        <w:t>  La seguridad alimentaria comienza mucho antes de que un producto llegue a la mesa. Una correcta gestión del excedente no solo ayuda a combatir el desperdicio, sino que también contribuye a reforzar la salud pública y la resiliencia del sistema alimentario.</w:t>
      </w:r>
    </w:p>
    <w:p w14:paraId="0C15B7D5" w14:textId="77777777" w:rsidR="00801959" w:rsidRDefault="00801959" w:rsidP="00801959">
      <w:pPr>
        <w:spacing w:after="0"/>
        <w:jc w:val="both"/>
        <w:rPr>
          <w:rFonts w:ascii="Century Gothic" w:hAnsi="Century Gothic"/>
          <w:sz w:val="22"/>
          <w:szCs w:val="22"/>
        </w:rPr>
      </w:pPr>
    </w:p>
    <w:p w14:paraId="5FD29A3C" w14:textId="436B7289" w:rsidR="00425267" w:rsidRPr="00425267" w:rsidRDefault="00425267" w:rsidP="00801959">
      <w:pPr>
        <w:spacing w:after="0"/>
        <w:jc w:val="both"/>
        <w:rPr>
          <w:rFonts w:ascii="Century Gothic" w:hAnsi="Century Gothic"/>
          <w:sz w:val="22"/>
          <w:szCs w:val="22"/>
        </w:rPr>
      </w:pPr>
      <w:r w:rsidRPr="00425267">
        <w:rPr>
          <w:rFonts w:ascii="Century Gothic" w:hAnsi="Century Gothic"/>
          <w:sz w:val="22"/>
          <w:szCs w:val="22"/>
        </w:rPr>
        <w:t xml:space="preserve">Con motivo del </w:t>
      </w:r>
      <w:r w:rsidRPr="00425267">
        <w:rPr>
          <w:rFonts w:ascii="Century Gothic" w:hAnsi="Century Gothic"/>
          <w:b/>
          <w:bCs/>
          <w:sz w:val="22"/>
          <w:szCs w:val="22"/>
        </w:rPr>
        <w:t>Día Mundial de la Seguridad Alimentaria</w:t>
      </w:r>
      <w:r w:rsidRPr="00425267">
        <w:rPr>
          <w:rFonts w:ascii="Century Gothic" w:hAnsi="Century Gothic"/>
          <w:sz w:val="22"/>
          <w:szCs w:val="22"/>
        </w:rPr>
        <w:t xml:space="preserve">, celebrado el pasado 7 de junio, </w:t>
      </w:r>
      <w:hyperlink r:id="rId7" w:history="1">
        <w:r w:rsidRPr="00425267">
          <w:rPr>
            <w:rStyle w:val="Hipervnculo"/>
            <w:rFonts w:ascii="Century Gothic" w:hAnsi="Century Gothic"/>
            <w:b/>
            <w:bCs/>
            <w:sz w:val="22"/>
            <w:szCs w:val="22"/>
          </w:rPr>
          <w:t>Phenix</w:t>
        </w:r>
      </w:hyperlink>
      <w:r w:rsidRPr="00425267">
        <w:rPr>
          <w:rFonts w:ascii="Century Gothic" w:hAnsi="Century Gothic"/>
          <w:sz w:val="22"/>
          <w:szCs w:val="22"/>
        </w:rPr>
        <w:t xml:space="preserve"> ,empresa especializada en la gestión de excedentes, subraya la importancia de aplicar criterios rigurosos de trazabilidad, control y formación a lo largo de toda la cadena de valor, especialmente en contextos de recuperación y donación de alimentos.</w:t>
      </w:r>
    </w:p>
    <w:p w14:paraId="270A633A" w14:textId="77777777" w:rsidR="00801959" w:rsidRDefault="00801959" w:rsidP="00801959">
      <w:pPr>
        <w:spacing w:after="0"/>
        <w:jc w:val="both"/>
        <w:rPr>
          <w:rFonts w:ascii="Century Gothic" w:hAnsi="Century Gothic"/>
          <w:b/>
          <w:bCs/>
          <w:sz w:val="22"/>
          <w:szCs w:val="22"/>
        </w:rPr>
      </w:pPr>
    </w:p>
    <w:p w14:paraId="50166C59" w14:textId="383A137D" w:rsidR="00425267" w:rsidRPr="00425267" w:rsidRDefault="00425267" w:rsidP="00801959">
      <w:pPr>
        <w:spacing w:after="0"/>
        <w:jc w:val="both"/>
        <w:rPr>
          <w:rFonts w:ascii="Century Gothic" w:hAnsi="Century Gothic"/>
          <w:sz w:val="22"/>
          <w:szCs w:val="22"/>
        </w:rPr>
      </w:pPr>
      <w:r w:rsidRPr="00425267">
        <w:rPr>
          <w:rFonts w:ascii="Century Gothic" w:hAnsi="Century Gothic"/>
          <w:b/>
          <w:bCs/>
          <w:sz w:val="22"/>
          <w:szCs w:val="22"/>
        </w:rPr>
        <w:t>Donaciones con garantías: trazabilidad, formación y control</w:t>
      </w:r>
    </w:p>
    <w:p w14:paraId="4EAD33A4" w14:textId="77777777" w:rsidR="00801959" w:rsidRDefault="00801959" w:rsidP="00801959">
      <w:pPr>
        <w:spacing w:after="0"/>
        <w:jc w:val="both"/>
        <w:rPr>
          <w:rFonts w:ascii="Century Gothic" w:hAnsi="Century Gothic"/>
          <w:sz w:val="22"/>
          <w:szCs w:val="22"/>
        </w:rPr>
      </w:pPr>
    </w:p>
    <w:p w14:paraId="5C9188B0" w14:textId="548D601E" w:rsidR="00425267" w:rsidRPr="00425267" w:rsidRDefault="00425267" w:rsidP="00801959">
      <w:pPr>
        <w:spacing w:after="0"/>
        <w:jc w:val="both"/>
        <w:rPr>
          <w:rFonts w:ascii="Century Gothic" w:hAnsi="Century Gothic"/>
          <w:sz w:val="22"/>
          <w:szCs w:val="22"/>
        </w:rPr>
      </w:pPr>
      <w:r w:rsidRPr="00425267">
        <w:rPr>
          <w:rFonts w:ascii="Century Gothic" w:hAnsi="Century Gothic"/>
          <w:sz w:val="22"/>
          <w:szCs w:val="22"/>
        </w:rPr>
        <w:t>En un momento en el que España avanza hacia un modelo más sostenible con la nueva Ley de Prevención de Pérdidas y Desperdicio Alimentario, resulta esencial recordar que cada alimento donado debe cumplir las mismas garantías de calidad y seguridad que el resto.</w:t>
      </w:r>
    </w:p>
    <w:p w14:paraId="3A0881B4" w14:textId="77777777" w:rsidR="00801959" w:rsidRDefault="00801959" w:rsidP="00801959">
      <w:pPr>
        <w:spacing w:after="0"/>
        <w:jc w:val="both"/>
        <w:rPr>
          <w:rFonts w:ascii="Century Gothic" w:hAnsi="Century Gothic"/>
          <w:sz w:val="22"/>
          <w:szCs w:val="22"/>
        </w:rPr>
      </w:pPr>
    </w:p>
    <w:p w14:paraId="621EE5E1" w14:textId="65A30520" w:rsidR="00425267" w:rsidRPr="00425267" w:rsidRDefault="00425267" w:rsidP="00801959">
      <w:pPr>
        <w:spacing w:after="0"/>
        <w:jc w:val="both"/>
        <w:rPr>
          <w:rFonts w:ascii="Century Gothic" w:hAnsi="Century Gothic"/>
          <w:sz w:val="22"/>
          <w:szCs w:val="22"/>
        </w:rPr>
      </w:pPr>
      <w:r w:rsidRPr="00425267">
        <w:rPr>
          <w:rFonts w:ascii="Century Gothic" w:hAnsi="Century Gothic"/>
          <w:sz w:val="22"/>
          <w:szCs w:val="22"/>
        </w:rPr>
        <w:t xml:space="preserve">La trazabilidad es una de las claves para garantizar la seguridad en la redistribución de alimentos. En este sentido, Phenix aboga por que todos </w:t>
      </w:r>
      <w:r w:rsidRPr="00425267">
        <w:rPr>
          <w:rFonts w:ascii="Century Gothic" w:hAnsi="Century Gothic"/>
          <w:b/>
          <w:bCs/>
          <w:sz w:val="22"/>
          <w:szCs w:val="22"/>
        </w:rPr>
        <w:t>los productos destinados a donación estén correctamente registrados y geolocalizados digitalmente</w:t>
      </w:r>
      <w:r w:rsidRPr="00425267">
        <w:rPr>
          <w:rFonts w:ascii="Century Gothic" w:hAnsi="Century Gothic"/>
          <w:sz w:val="22"/>
          <w:szCs w:val="22"/>
        </w:rPr>
        <w:t>, permitiendo identificar su origen, destino y estado en cada momento. Esta trazabilidad integral permite, en caso necesario, activar protocolos de actuación rápidos y eficaces.</w:t>
      </w:r>
    </w:p>
    <w:p w14:paraId="78FA76E7" w14:textId="77777777" w:rsidR="00801959" w:rsidRDefault="00801959" w:rsidP="00801959">
      <w:pPr>
        <w:spacing w:after="0"/>
        <w:jc w:val="both"/>
        <w:rPr>
          <w:rFonts w:ascii="Century Gothic" w:hAnsi="Century Gothic"/>
          <w:sz w:val="22"/>
          <w:szCs w:val="22"/>
        </w:rPr>
      </w:pPr>
    </w:p>
    <w:p w14:paraId="194DF4C9" w14:textId="7364B180" w:rsidR="00425267" w:rsidRPr="00425267" w:rsidRDefault="00425267" w:rsidP="00801959">
      <w:pPr>
        <w:spacing w:after="0"/>
        <w:jc w:val="both"/>
        <w:rPr>
          <w:rFonts w:ascii="Century Gothic" w:hAnsi="Century Gothic"/>
          <w:sz w:val="22"/>
          <w:szCs w:val="22"/>
        </w:rPr>
      </w:pPr>
      <w:r w:rsidRPr="00425267">
        <w:rPr>
          <w:rFonts w:ascii="Century Gothic" w:hAnsi="Century Gothic"/>
          <w:sz w:val="22"/>
          <w:szCs w:val="22"/>
        </w:rPr>
        <w:t>Además, la compañía insiste en que todos los profesionales involucrados en la gestión del excedente deben estar debidamente formados en materia de seguridad alimentaria. Las donaciones deben cumplir los mismos estándares higiénico-sanitarios que el resto de los productos en venta, y las empresas deben contar con herramientas y procesos que aseguren su correcta manipulación y conservación hasta el punto de entrega.</w:t>
      </w:r>
    </w:p>
    <w:p w14:paraId="7D87F824" w14:textId="77777777" w:rsidR="00801959" w:rsidRDefault="00801959" w:rsidP="00801959">
      <w:pPr>
        <w:spacing w:after="0"/>
        <w:jc w:val="both"/>
        <w:rPr>
          <w:rFonts w:ascii="Century Gothic" w:hAnsi="Century Gothic"/>
          <w:b/>
          <w:bCs/>
          <w:sz w:val="22"/>
          <w:szCs w:val="22"/>
        </w:rPr>
      </w:pPr>
    </w:p>
    <w:p w14:paraId="26759B48" w14:textId="77777777" w:rsidR="00801959" w:rsidRDefault="00801959" w:rsidP="00801959">
      <w:pPr>
        <w:spacing w:after="0"/>
        <w:jc w:val="both"/>
        <w:rPr>
          <w:rFonts w:ascii="Century Gothic" w:hAnsi="Century Gothic"/>
          <w:b/>
          <w:bCs/>
          <w:sz w:val="22"/>
          <w:szCs w:val="22"/>
        </w:rPr>
      </w:pPr>
    </w:p>
    <w:p w14:paraId="5EB47B24" w14:textId="644782E6" w:rsidR="00425267" w:rsidRPr="00425267" w:rsidRDefault="00425267" w:rsidP="00801959">
      <w:pPr>
        <w:spacing w:after="0"/>
        <w:jc w:val="both"/>
        <w:rPr>
          <w:rFonts w:ascii="Century Gothic" w:hAnsi="Century Gothic"/>
          <w:sz w:val="22"/>
          <w:szCs w:val="22"/>
        </w:rPr>
      </w:pPr>
      <w:r w:rsidRPr="00425267">
        <w:rPr>
          <w:rFonts w:ascii="Century Gothic" w:hAnsi="Century Gothic"/>
          <w:b/>
          <w:bCs/>
          <w:sz w:val="22"/>
          <w:szCs w:val="22"/>
        </w:rPr>
        <w:t>Evitar el desperdicio sin poner en riesgo la salud</w:t>
      </w:r>
    </w:p>
    <w:p w14:paraId="4CE4EFCA" w14:textId="77777777" w:rsidR="00425267" w:rsidRPr="00425267" w:rsidRDefault="00425267" w:rsidP="00801959">
      <w:pPr>
        <w:spacing w:after="0"/>
        <w:jc w:val="both"/>
        <w:rPr>
          <w:rFonts w:ascii="Century Gothic" w:hAnsi="Century Gothic"/>
          <w:sz w:val="22"/>
          <w:szCs w:val="22"/>
        </w:rPr>
      </w:pPr>
    </w:p>
    <w:p w14:paraId="176F30A8" w14:textId="5E2055A6" w:rsidR="00425267" w:rsidRPr="00425267" w:rsidRDefault="00425267" w:rsidP="00801959">
      <w:pPr>
        <w:spacing w:after="0"/>
        <w:jc w:val="both"/>
        <w:rPr>
          <w:rFonts w:ascii="Century Gothic" w:hAnsi="Century Gothic"/>
          <w:sz w:val="22"/>
          <w:szCs w:val="22"/>
        </w:rPr>
      </w:pPr>
      <w:r w:rsidRPr="00425267">
        <w:rPr>
          <w:rFonts w:ascii="Century Gothic" w:hAnsi="Century Gothic"/>
          <w:sz w:val="22"/>
          <w:szCs w:val="22"/>
        </w:rPr>
        <w:t xml:space="preserve">Si bien reducir el desperdicio es una prioridad ambiental y económica, desde Phenix hacen un llamamiento a mantener el equilibrio. Según el último barómetro del desperdicio elaborado por AECOC en colaboración con Phenix, un </w:t>
      </w:r>
      <w:r w:rsidRPr="00425267">
        <w:rPr>
          <w:rFonts w:ascii="Century Gothic" w:hAnsi="Century Gothic"/>
          <w:b/>
          <w:bCs/>
          <w:sz w:val="22"/>
          <w:szCs w:val="22"/>
        </w:rPr>
        <w:t>50</w:t>
      </w:r>
      <w:r w:rsidRPr="00425267">
        <w:rPr>
          <w:rFonts w:ascii="Arial" w:hAnsi="Arial" w:cs="Arial"/>
          <w:b/>
          <w:bCs/>
          <w:sz w:val="22"/>
          <w:szCs w:val="22"/>
        </w:rPr>
        <w:t> </w:t>
      </w:r>
      <w:r w:rsidRPr="00425267">
        <w:rPr>
          <w:rFonts w:ascii="Century Gothic" w:hAnsi="Century Gothic"/>
          <w:b/>
          <w:bCs/>
          <w:sz w:val="22"/>
          <w:szCs w:val="22"/>
        </w:rPr>
        <w:t>% de los consumidores reconoce haber consumido productos caducados para evitar tirarlos.</w:t>
      </w:r>
      <w:r w:rsidRPr="00425267">
        <w:rPr>
          <w:rFonts w:ascii="Century Gothic" w:hAnsi="Century Gothic"/>
          <w:sz w:val="22"/>
          <w:szCs w:val="22"/>
        </w:rPr>
        <w:t> </w:t>
      </w:r>
    </w:p>
    <w:p w14:paraId="1BB340FF" w14:textId="77777777" w:rsidR="00801959" w:rsidRDefault="00801959" w:rsidP="00801959">
      <w:pPr>
        <w:spacing w:after="0"/>
        <w:jc w:val="both"/>
        <w:rPr>
          <w:rFonts w:ascii="Century Gothic" w:hAnsi="Century Gothic"/>
          <w:sz w:val="22"/>
          <w:szCs w:val="22"/>
        </w:rPr>
      </w:pPr>
    </w:p>
    <w:p w14:paraId="638920C7" w14:textId="08D2D7F3" w:rsidR="00425267" w:rsidRPr="00425267" w:rsidRDefault="00425267" w:rsidP="00801959">
      <w:pPr>
        <w:spacing w:after="0"/>
        <w:jc w:val="both"/>
        <w:rPr>
          <w:rFonts w:ascii="Century Gothic" w:hAnsi="Century Gothic"/>
          <w:sz w:val="22"/>
          <w:szCs w:val="22"/>
        </w:rPr>
      </w:pPr>
      <w:r w:rsidRPr="00425267">
        <w:rPr>
          <w:rFonts w:ascii="Century Gothic" w:hAnsi="Century Gothic"/>
          <w:sz w:val="22"/>
          <w:szCs w:val="22"/>
        </w:rPr>
        <w:t>Este dato refleja la necesidad de reforzar la información y concienciación del consumidor, no solo sobre la importancia de evitar el despilfarro, sino también sobre cómo interpretar correctamente las fechas de caducidad, las condiciones de conservación y los signos que indican que un alimento ya no es seguro. La solución pasa por fomentar prácticas responsables que permitan aprovechar los recursos disponibles sin comprometer la salud.</w:t>
      </w:r>
    </w:p>
    <w:p w14:paraId="65B31961" w14:textId="77777777" w:rsidR="00801959" w:rsidRDefault="00801959" w:rsidP="00801959">
      <w:pPr>
        <w:spacing w:after="0"/>
        <w:jc w:val="both"/>
        <w:rPr>
          <w:rFonts w:ascii="Century Gothic" w:hAnsi="Century Gothic"/>
          <w:i/>
          <w:iCs/>
          <w:sz w:val="22"/>
          <w:szCs w:val="22"/>
        </w:rPr>
      </w:pPr>
    </w:p>
    <w:p w14:paraId="1EBB543A" w14:textId="46D1478F" w:rsidR="00425267" w:rsidRPr="00425267" w:rsidRDefault="00425267" w:rsidP="00801959">
      <w:pPr>
        <w:spacing w:after="0"/>
        <w:jc w:val="both"/>
        <w:rPr>
          <w:rFonts w:ascii="Century Gothic" w:hAnsi="Century Gothic"/>
          <w:sz w:val="22"/>
          <w:szCs w:val="22"/>
        </w:rPr>
      </w:pPr>
      <w:r w:rsidRPr="00425267">
        <w:rPr>
          <w:rFonts w:ascii="Century Gothic" w:hAnsi="Century Gothic"/>
          <w:i/>
          <w:iCs/>
          <w:sz w:val="22"/>
          <w:szCs w:val="22"/>
        </w:rPr>
        <w:t>“El desperdicio alimentario es un problema global, pero no podemos permitir que la solución suponga nuevos riesgos para la salud. En Phenix trabajamos para reducir el desperdicio sin comprometer la seguridad, garantizando que cada producto salvado cumpla con todas las condiciones necesarias para su consumo”</w:t>
      </w:r>
      <w:r w:rsidRPr="00425267">
        <w:rPr>
          <w:rFonts w:ascii="Century Gothic" w:hAnsi="Century Gothic"/>
          <w:sz w:val="22"/>
          <w:szCs w:val="22"/>
        </w:rPr>
        <w:t xml:space="preserve">, concluye </w:t>
      </w:r>
      <w:r w:rsidRPr="00872C8A">
        <w:rPr>
          <w:rFonts w:ascii="Century Gothic" w:hAnsi="Century Gothic"/>
          <w:b/>
          <w:bCs/>
          <w:sz w:val="22"/>
          <w:szCs w:val="22"/>
        </w:rPr>
        <w:t xml:space="preserve">Pauline </w:t>
      </w:r>
      <w:r w:rsidRPr="00425267">
        <w:rPr>
          <w:rFonts w:ascii="Century Gothic" w:hAnsi="Century Gothic"/>
          <w:b/>
          <w:bCs/>
          <w:sz w:val="22"/>
          <w:szCs w:val="22"/>
        </w:rPr>
        <w:t>Bertin, Chief Sales Officer de Phenix a nivel global</w:t>
      </w:r>
      <w:r w:rsidRPr="00425267">
        <w:rPr>
          <w:rFonts w:ascii="Century Gothic" w:hAnsi="Century Gothic"/>
          <w:sz w:val="22"/>
          <w:szCs w:val="22"/>
        </w:rPr>
        <w:t>.</w:t>
      </w:r>
    </w:p>
    <w:p w14:paraId="26941F8D" w14:textId="77777777" w:rsidR="00D23385" w:rsidRDefault="0099209D" w:rsidP="00D23385">
      <w:pPr>
        <w:jc w:val="center"/>
        <w:rPr>
          <w:rFonts w:ascii="Open Sans" w:eastAsia="Open Sans" w:hAnsi="Open Sans" w:cs="Open Sans"/>
          <w:color w:val="000000"/>
          <w:sz w:val="22"/>
          <w:szCs w:val="22"/>
        </w:rPr>
      </w:pPr>
      <w:r>
        <w:pict w14:anchorId="7921F3D5">
          <v:rect id="_x0000_i1025" style="width:0;height:1.5pt" o:hralign="center" o:hrstd="t" o:hr="t" fillcolor="#a0a0a0" stroked="f"/>
        </w:pict>
      </w:r>
    </w:p>
    <w:p w14:paraId="1B8B30BA" w14:textId="77777777" w:rsidR="00D23385" w:rsidRDefault="00D23385" w:rsidP="00D23385">
      <w:pPr>
        <w:jc w:val="center"/>
        <w:rPr>
          <w:rFonts w:ascii="Open Sans" w:eastAsia="Open Sans" w:hAnsi="Open Sans" w:cs="Open Sans"/>
          <w:sz w:val="22"/>
          <w:szCs w:val="22"/>
        </w:rPr>
      </w:pPr>
      <w:r>
        <w:rPr>
          <w:rFonts w:ascii="Open Sans" w:eastAsia="Open Sans" w:hAnsi="Open Sans" w:cs="Open Sans"/>
          <w:sz w:val="22"/>
          <w:szCs w:val="22"/>
        </w:rPr>
        <w:t>***</w:t>
      </w:r>
    </w:p>
    <w:p w14:paraId="45D91481" w14:textId="77777777" w:rsidR="00D23385" w:rsidRDefault="00D23385" w:rsidP="00D23385">
      <w:pPr>
        <w:rPr>
          <w:rFonts w:ascii="Open Sans" w:eastAsia="Open Sans" w:hAnsi="Open Sans" w:cs="Open Sans"/>
          <w:sz w:val="22"/>
          <w:szCs w:val="22"/>
        </w:rPr>
      </w:pPr>
      <w:r>
        <w:rPr>
          <w:rFonts w:ascii="Calibri" w:eastAsia="Calibri" w:hAnsi="Calibri" w:cs="Calibri"/>
          <w:b/>
          <w:sz w:val="18"/>
          <w:szCs w:val="18"/>
        </w:rPr>
        <w:t>Sobre Phenix</w:t>
      </w:r>
    </w:p>
    <w:p w14:paraId="33F476E6" w14:textId="28C3DFD4" w:rsidR="00D23385" w:rsidRDefault="00D23385" w:rsidP="00D23385">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Phenix es una empresa especializada en maximizar el valor del excedente en el sector alimentario en España. A través de una gestión eficiente, ayuda a las empresas a convertir el excedente en una fuente de rentabilidad, mientras reduce significativamente el desperdicio alimentario y fomenta un impacto positivo en la sociedad y el medio ambiente. Nació en el 2014, en Francia, con una misión muy clara: reducir el desperdicio alimentario, un problema con un grave impacto económico, social y medioambiental a nivel mundial. Actualmente, es líder en el mercado francés y está en plena consolidación en España y Portugal. La empresa cuenta con más de 200 empleados en total. Phenix está certificada como B Corporation, mostrando su compromiso con la sociedad y el medioambiente.</w:t>
      </w:r>
    </w:p>
    <w:p w14:paraId="44822DD2" w14:textId="77777777" w:rsidR="00D23385" w:rsidRDefault="00D23385" w:rsidP="00D23385">
      <w:pPr>
        <w:spacing w:after="0" w:line="240" w:lineRule="auto"/>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Para más información: https://www.wearephenix.com/es/</w:t>
      </w:r>
    </w:p>
    <w:p w14:paraId="5124AA14" w14:textId="77777777" w:rsidR="00D23385" w:rsidRDefault="00D23385" w:rsidP="00D23385">
      <w:pPr>
        <w:rPr>
          <w:rFonts w:ascii="Open Sans" w:eastAsia="Open Sans" w:hAnsi="Open Sans" w:cs="Open Sans"/>
          <w:sz w:val="22"/>
          <w:szCs w:val="22"/>
        </w:rPr>
      </w:pPr>
    </w:p>
    <w:p w14:paraId="069DA479" w14:textId="77777777" w:rsidR="00D23385" w:rsidRDefault="00D23385" w:rsidP="00D23385">
      <w:pPr>
        <w:spacing w:after="0" w:line="240" w:lineRule="auto"/>
        <w:jc w:val="right"/>
        <w:rPr>
          <w:rFonts w:ascii="Calibri" w:eastAsia="Calibri" w:hAnsi="Calibri" w:cs="Calibri"/>
          <w:b/>
          <w:sz w:val="20"/>
          <w:szCs w:val="20"/>
        </w:rPr>
      </w:pPr>
      <w:r>
        <w:rPr>
          <w:rFonts w:ascii="Calibri" w:eastAsia="Calibri" w:hAnsi="Calibri" w:cs="Calibri"/>
          <w:b/>
          <w:sz w:val="20"/>
          <w:szCs w:val="20"/>
        </w:rPr>
        <w:t>Contacto para la prensa:</w:t>
      </w:r>
    </w:p>
    <w:p w14:paraId="68BB7C50" w14:textId="77777777" w:rsidR="00D23385" w:rsidRDefault="00D23385" w:rsidP="00D23385">
      <w:pPr>
        <w:jc w:val="center"/>
        <w:rPr>
          <w:rFonts w:ascii="Open Sans" w:eastAsia="Open Sans" w:hAnsi="Open Sans" w:cs="Open Sans"/>
          <w:sz w:val="22"/>
          <w:szCs w:val="22"/>
        </w:rPr>
      </w:pPr>
    </w:p>
    <w:p w14:paraId="7B9CF867" w14:textId="77777777" w:rsidR="00D23385" w:rsidRDefault="00D23385" w:rsidP="00D23385">
      <w:pPr>
        <w:spacing w:after="0" w:line="240" w:lineRule="auto"/>
        <w:jc w:val="right"/>
        <w:rPr>
          <w:rFonts w:ascii="Calibri" w:eastAsia="Calibri" w:hAnsi="Calibri" w:cs="Calibri"/>
          <w:b/>
          <w:sz w:val="20"/>
          <w:szCs w:val="20"/>
        </w:rPr>
      </w:pPr>
      <w:r>
        <w:rPr>
          <w:rFonts w:ascii="Calibri" w:eastAsia="Calibri" w:hAnsi="Calibri" w:cs="Calibri"/>
          <w:b/>
          <w:sz w:val="20"/>
          <w:szCs w:val="20"/>
        </w:rPr>
        <w:t xml:space="preserve">Marina Gascón Martínez de Quel </w:t>
      </w:r>
    </w:p>
    <w:p w14:paraId="4FF28479" w14:textId="77777777" w:rsidR="00D23385" w:rsidRDefault="00D23385" w:rsidP="00D23385">
      <w:pPr>
        <w:spacing w:after="0" w:line="240" w:lineRule="auto"/>
        <w:jc w:val="right"/>
        <w:rPr>
          <w:rFonts w:ascii="Calibri" w:eastAsia="Calibri" w:hAnsi="Calibri" w:cs="Calibri"/>
          <w:sz w:val="20"/>
          <w:szCs w:val="20"/>
        </w:rPr>
      </w:pPr>
      <w:r>
        <w:rPr>
          <w:rFonts w:ascii="Calibri" w:eastAsia="Calibri" w:hAnsi="Calibri" w:cs="Calibri"/>
          <w:sz w:val="20"/>
          <w:szCs w:val="20"/>
        </w:rPr>
        <w:t xml:space="preserve">marina.gascon@newlink-group.com </w:t>
      </w:r>
    </w:p>
    <w:p w14:paraId="25D0F5F1" w14:textId="77777777" w:rsidR="00D23385" w:rsidRDefault="00D23385" w:rsidP="00D23385">
      <w:pPr>
        <w:spacing w:after="0" w:line="240" w:lineRule="auto"/>
        <w:jc w:val="right"/>
        <w:rPr>
          <w:rFonts w:ascii="Calibri" w:eastAsia="Calibri" w:hAnsi="Calibri" w:cs="Calibri"/>
          <w:sz w:val="20"/>
          <w:szCs w:val="20"/>
        </w:rPr>
      </w:pPr>
      <w:r>
        <w:rPr>
          <w:rFonts w:ascii="Calibri" w:eastAsia="Calibri" w:hAnsi="Calibri" w:cs="Calibri"/>
          <w:sz w:val="20"/>
          <w:szCs w:val="20"/>
        </w:rPr>
        <w:t xml:space="preserve">+ 34 651 963 459 </w:t>
      </w:r>
    </w:p>
    <w:p w14:paraId="5C77EC2D" w14:textId="77777777" w:rsidR="00D23385" w:rsidRDefault="00D23385" w:rsidP="00D23385">
      <w:pPr>
        <w:spacing w:after="0" w:line="240" w:lineRule="auto"/>
        <w:jc w:val="right"/>
        <w:rPr>
          <w:rFonts w:ascii="Calibri" w:eastAsia="Calibri" w:hAnsi="Calibri" w:cs="Calibri"/>
          <w:b/>
          <w:sz w:val="20"/>
          <w:szCs w:val="20"/>
        </w:rPr>
      </w:pPr>
    </w:p>
    <w:p w14:paraId="7FAC5B14" w14:textId="77777777" w:rsidR="00D23385" w:rsidRDefault="00D23385" w:rsidP="00D23385">
      <w:pPr>
        <w:spacing w:after="0" w:line="240" w:lineRule="auto"/>
        <w:jc w:val="right"/>
        <w:rPr>
          <w:rFonts w:ascii="Calibri" w:eastAsia="Calibri" w:hAnsi="Calibri" w:cs="Calibri"/>
          <w:b/>
          <w:sz w:val="20"/>
          <w:szCs w:val="20"/>
        </w:rPr>
      </w:pPr>
      <w:r>
        <w:rPr>
          <w:rFonts w:ascii="Calibri" w:eastAsia="Calibri" w:hAnsi="Calibri" w:cs="Calibri"/>
          <w:b/>
          <w:sz w:val="20"/>
          <w:szCs w:val="20"/>
        </w:rPr>
        <w:t>María Sánchez-Girón</w:t>
      </w:r>
    </w:p>
    <w:p w14:paraId="122EFB37" w14:textId="77777777" w:rsidR="00D23385" w:rsidRDefault="00D23385" w:rsidP="00D23385">
      <w:pPr>
        <w:spacing w:after="0" w:line="240" w:lineRule="auto"/>
        <w:jc w:val="right"/>
        <w:rPr>
          <w:rFonts w:ascii="Calibri" w:eastAsia="Calibri" w:hAnsi="Calibri" w:cs="Calibri"/>
          <w:sz w:val="20"/>
          <w:szCs w:val="20"/>
        </w:rPr>
      </w:pPr>
      <w:r>
        <w:rPr>
          <w:rFonts w:ascii="Calibri" w:eastAsia="Calibri" w:hAnsi="Calibri" w:cs="Calibri"/>
          <w:sz w:val="20"/>
          <w:szCs w:val="20"/>
        </w:rPr>
        <w:t>maria.sanchez-giron@newlink-group.com</w:t>
      </w:r>
    </w:p>
    <w:p w14:paraId="2F6824A7" w14:textId="77777777" w:rsidR="00D23385" w:rsidRDefault="00D23385" w:rsidP="00D23385">
      <w:pPr>
        <w:spacing w:after="0" w:line="240" w:lineRule="auto"/>
        <w:jc w:val="right"/>
      </w:pPr>
      <w:r>
        <w:rPr>
          <w:rFonts w:ascii="Calibri" w:eastAsia="Calibri" w:hAnsi="Calibri" w:cs="Calibri"/>
          <w:sz w:val="20"/>
          <w:szCs w:val="20"/>
        </w:rPr>
        <w:t>+34 653 125 545</w:t>
      </w:r>
    </w:p>
    <w:p w14:paraId="7CFBCDA6" w14:textId="77777777" w:rsidR="001F172C" w:rsidRPr="004C2514" w:rsidRDefault="001F172C" w:rsidP="00801959">
      <w:pPr>
        <w:spacing w:after="0"/>
        <w:rPr>
          <w:rFonts w:ascii="Century Gothic" w:hAnsi="Century Gothic"/>
          <w:sz w:val="22"/>
          <w:szCs w:val="22"/>
        </w:rPr>
      </w:pPr>
    </w:p>
    <w:sectPr w:rsidR="001F172C" w:rsidRPr="004C251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D57BA" w14:textId="77777777" w:rsidR="00756F50" w:rsidRDefault="00756F50" w:rsidP="00756F50">
      <w:pPr>
        <w:spacing w:after="0" w:line="240" w:lineRule="auto"/>
      </w:pPr>
      <w:r>
        <w:separator/>
      </w:r>
    </w:p>
  </w:endnote>
  <w:endnote w:type="continuationSeparator" w:id="0">
    <w:p w14:paraId="122CE2A6" w14:textId="77777777" w:rsidR="00756F50" w:rsidRDefault="00756F50" w:rsidP="0075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0DF89" w14:textId="77777777" w:rsidR="00756F50" w:rsidRDefault="00756F50" w:rsidP="00756F50">
      <w:pPr>
        <w:spacing w:after="0" w:line="240" w:lineRule="auto"/>
      </w:pPr>
      <w:r>
        <w:separator/>
      </w:r>
    </w:p>
  </w:footnote>
  <w:footnote w:type="continuationSeparator" w:id="0">
    <w:p w14:paraId="79DF62B3" w14:textId="77777777" w:rsidR="00756F50" w:rsidRDefault="00756F50" w:rsidP="00756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8D22" w14:textId="3BF1944C" w:rsidR="00756F50" w:rsidRDefault="00756F50" w:rsidP="00756F50">
    <w:pPr>
      <w:pStyle w:val="Encabezado"/>
      <w:jc w:val="center"/>
    </w:pPr>
    <w:r>
      <w:rPr>
        <w:rFonts w:ascii="Calibri" w:eastAsia="Calibri" w:hAnsi="Calibri" w:cs="Calibri"/>
        <w:noProof/>
        <w:color w:val="000000"/>
        <w:sz w:val="22"/>
        <w:szCs w:val="22"/>
      </w:rPr>
      <w:drawing>
        <wp:inline distT="0" distB="0" distL="0" distR="0" wp14:anchorId="3DD2F815" wp14:editId="61841A9D">
          <wp:extent cx="1578610" cy="621030"/>
          <wp:effectExtent l="0" t="0" r="0" b="0"/>
          <wp:docPr id="1496951768"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a:stretch>
                    <a:fillRect/>
                  </a:stretch>
                </pic:blipFill>
                <pic:spPr>
                  <a:xfrm>
                    <a:off x="0" y="0"/>
                    <a:ext cx="1578610" cy="6210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4611"/>
    <w:multiLevelType w:val="multilevel"/>
    <w:tmpl w:val="9708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03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F3"/>
    <w:rsid w:val="000C0FF3"/>
    <w:rsid w:val="001443B8"/>
    <w:rsid w:val="001F172C"/>
    <w:rsid w:val="00282360"/>
    <w:rsid w:val="00425267"/>
    <w:rsid w:val="004C2514"/>
    <w:rsid w:val="004C7C48"/>
    <w:rsid w:val="0050595D"/>
    <w:rsid w:val="00595F91"/>
    <w:rsid w:val="00720551"/>
    <w:rsid w:val="00756F50"/>
    <w:rsid w:val="00801959"/>
    <w:rsid w:val="00872C8A"/>
    <w:rsid w:val="0099209D"/>
    <w:rsid w:val="009B6AB2"/>
    <w:rsid w:val="00BA40D4"/>
    <w:rsid w:val="00D23385"/>
    <w:rsid w:val="00F67872"/>
    <w:rsid w:val="00F919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4312AC"/>
  <w15:chartTrackingRefBased/>
  <w15:docId w15:val="{2DC986C1-8C80-4910-B500-9E9DC714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0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0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0F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0F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0F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0F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0F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0F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0FF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0FF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0FF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0FF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0FF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0FF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0FF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0FF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0FF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0FF3"/>
    <w:rPr>
      <w:rFonts w:eastAsiaTheme="majorEastAsia" w:cstheme="majorBidi"/>
      <w:color w:val="272727" w:themeColor="text1" w:themeTint="D8"/>
    </w:rPr>
  </w:style>
  <w:style w:type="paragraph" w:styleId="Ttulo">
    <w:name w:val="Title"/>
    <w:basedOn w:val="Normal"/>
    <w:next w:val="Normal"/>
    <w:link w:val="TtuloCar"/>
    <w:uiPriority w:val="10"/>
    <w:qFormat/>
    <w:rsid w:val="000C0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0F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0FF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0F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0FF3"/>
    <w:pPr>
      <w:spacing w:before="160"/>
      <w:jc w:val="center"/>
    </w:pPr>
    <w:rPr>
      <w:i/>
      <w:iCs/>
      <w:color w:val="404040" w:themeColor="text1" w:themeTint="BF"/>
    </w:rPr>
  </w:style>
  <w:style w:type="character" w:customStyle="1" w:styleId="CitaCar">
    <w:name w:val="Cita Car"/>
    <w:basedOn w:val="Fuentedeprrafopredeter"/>
    <w:link w:val="Cita"/>
    <w:uiPriority w:val="29"/>
    <w:rsid w:val="000C0FF3"/>
    <w:rPr>
      <w:i/>
      <w:iCs/>
      <w:color w:val="404040" w:themeColor="text1" w:themeTint="BF"/>
    </w:rPr>
  </w:style>
  <w:style w:type="paragraph" w:styleId="Prrafodelista">
    <w:name w:val="List Paragraph"/>
    <w:basedOn w:val="Normal"/>
    <w:uiPriority w:val="34"/>
    <w:qFormat/>
    <w:rsid w:val="000C0FF3"/>
    <w:pPr>
      <w:ind w:left="720"/>
      <w:contextualSpacing/>
    </w:pPr>
  </w:style>
  <w:style w:type="character" w:styleId="nfasisintenso">
    <w:name w:val="Intense Emphasis"/>
    <w:basedOn w:val="Fuentedeprrafopredeter"/>
    <w:uiPriority w:val="21"/>
    <w:qFormat/>
    <w:rsid w:val="000C0FF3"/>
    <w:rPr>
      <w:i/>
      <w:iCs/>
      <w:color w:val="0F4761" w:themeColor="accent1" w:themeShade="BF"/>
    </w:rPr>
  </w:style>
  <w:style w:type="paragraph" w:styleId="Citadestacada">
    <w:name w:val="Intense Quote"/>
    <w:basedOn w:val="Normal"/>
    <w:next w:val="Normal"/>
    <w:link w:val="CitadestacadaCar"/>
    <w:uiPriority w:val="30"/>
    <w:qFormat/>
    <w:rsid w:val="000C0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0FF3"/>
    <w:rPr>
      <w:i/>
      <w:iCs/>
      <w:color w:val="0F4761" w:themeColor="accent1" w:themeShade="BF"/>
    </w:rPr>
  </w:style>
  <w:style w:type="character" w:styleId="Referenciaintensa">
    <w:name w:val="Intense Reference"/>
    <w:basedOn w:val="Fuentedeprrafopredeter"/>
    <w:uiPriority w:val="32"/>
    <w:qFormat/>
    <w:rsid w:val="000C0FF3"/>
    <w:rPr>
      <w:b/>
      <w:bCs/>
      <w:smallCaps/>
      <w:color w:val="0F4761" w:themeColor="accent1" w:themeShade="BF"/>
      <w:spacing w:val="5"/>
    </w:rPr>
  </w:style>
  <w:style w:type="paragraph" w:styleId="Encabezado">
    <w:name w:val="header"/>
    <w:basedOn w:val="Normal"/>
    <w:link w:val="EncabezadoCar"/>
    <w:uiPriority w:val="99"/>
    <w:unhideWhenUsed/>
    <w:rsid w:val="00756F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6F50"/>
  </w:style>
  <w:style w:type="paragraph" w:styleId="Piedepgina">
    <w:name w:val="footer"/>
    <w:basedOn w:val="Normal"/>
    <w:link w:val="PiedepginaCar"/>
    <w:uiPriority w:val="99"/>
    <w:unhideWhenUsed/>
    <w:rsid w:val="00756F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6F50"/>
  </w:style>
  <w:style w:type="character" w:styleId="Hipervnculo">
    <w:name w:val="Hyperlink"/>
    <w:basedOn w:val="Fuentedeprrafopredeter"/>
    <w:uiPriority w:val="99"/>
    <w:unhideWhenUsed/>
    <w:rsid w:val="00425267"/>
    <w:rPr>
      <w:color w:val="467886" w:themeColor="hyperlink"/>
      <w:u w:val="single"/>
    </w:rPr>
  </w:style>
  <w:style w:type="character" w:styleId="Mencinsinresolver">
    <w:name w:val="Unresolved Mention"/>
    <w:basedOn w:val="Fuentedeprrafopredeter"/>
    <w:uiPriority w:val="99"/>
    <w:semiHidden/>
    <w:unhideWhenUsed/>
    <w:rsid w:val="0042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461253">
      <w:bodyDiv w:val="1"/>
      <w:marLeft w:val="0"/>
      <w:marRight w:val="0"/>
      <w:marTop w:val="0"/>
      <w:marBottom w:val="0"/>
      <w:divBdr>
        <w:top w:val="none" w:sz="0" w:space="0" w:color="auto"/>
        <w:left w:val="none" w:sz="0" w:space="0" w:color="auto"/>
        <w:bottom w:val="none" w:sz="0" w:space="0" w:color="auto"/>
        <w:right w:val="none" w:sz="0" w:space="0" w:color="auto"/>
      </w:divBdr>
    </w:div>
    <w:div w:id="184924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arephenix.c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3666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Sánchez-Girón</dc:creator>
  <cp:keywords/>
  <dc:description/>
  <cp:lastModifiedBy>María Sánchez-Girón</cp:lastModifiedBy>
  <cp:revision>14</cp:revision>
  <dcterms:created xsi:type="dcterms:W3CDTF">2025-06-09T08:51:00Z</dcterms:created>
  <dcterms:modified xsi:type="dcterms:W3CDTF">2025-06-09T09:02:00Z</dcterms:modified>
</cp:coreProperties>
</file>